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9B6" w:rsidRPr="00C1140B" w:rsidRDefault="00B049B6" w:rsidP="00B049B6">
      <w:pPr>
        <w:pStyle w:val="Heading1"/>
      </w:pPr>
      <w:r>
        <w:t>Osteomyelitis (OM)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8"/>
        <w:gridCol w:w="1149"/>
        <w:gridCol w:w="2789"/>
        <w:gridCol w:w="2785"/>
        <w:gridCol w:w="2799"/>
      </w:tblGrid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Classification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Hematogenous vs Contiguous (see pathophys)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Acute vs Chronic |</w:t>
            </w:r>
            <w:r>
              <w:rPr>
                <w:sz w:val="16"/>
                <w:szCs w:val="16"/>
              </w:rPr>
              <w:tab/>
              <w:t>acute = recent onset (</w:t>
            </w:r>
            <w:r>
              <w:rPr>
                <w:rFonts w:cstheme="minorHAnsi"/>
                <w:sz w:val="16"/>
                <w:szCs w:val="16"/>
              </w:rPr>
              <w:t>≤</w:t>
            </w:r>
            <w:r>
              <w:rPr>
                <w:sz w:val="16"/>
                <w:szCs w:val="16"/>
              </w:rPr>
              <w:t xml:space="preserve"> 1 week); no sequestra (separate piece of necrotic bone)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chronic = longer duration (more likely if bone becomes avascular/necrotic)</w:t>
            </w:r>
          </w:p>
        </w:tc>
      </w:tr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Pathophys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unique anatomy/physiology of some bones predispose them | keep in mind, less phagocytosis in these areas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--- long bones </w:t>
            </w:r>
            <w:r w:rsidRPr="003A5B9B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hairpin arteriole ends </w:t>
            </w:r>
            <w:r w:rsidRPr="004C33F1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blood flow sludging </w:t>
            </w:r>
            <w:r w:rsidRPr="00AE66A7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bacteria settle + inflamm </w:t>
            </w:r>
            <w:r w:rsidRPr="002744B7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exudates form </w:t>
            </w:r>
            <w:r w:rsidRPr="00736FF4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↑</w:t>
            </w:r>
            <w:r>
              <w:rPr>
                <w:sz w:val="16"/>
                <w:szCs w:val="16"/>
              </w:rPr>
              <w:t xml:space="preserve"> pressure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hematogenous</w:t>
            </w:r>
            <w:r>
              <w:rPr>
                <w:sz w:val="16"/>
                <w:szCs w:val="16"/>
              </w:rPr>
              <w:tab/>
              <w:t>spread via bloodstream | primarily in vertebra in older adults (esp thoracic and lumbar regions)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**note hematogenous OM most commonly in children in non-vertebral areas (but focus of this guide on adult medicine)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contiguous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1. spread via adjoining soft tissue infxn (eg cellulitis) | usually older adults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2. direct inoculation (trauma, puncture wound, surgery) | usually younger adults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primarily in femur, tibia, mandible</w:t>
            </w:r>
          </w:p>
          <w:p w:rsidR="00B049B6" w:rsidRPr="00DD3800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 both possible (about 50% for each cause)</w:t>
            </w:r>
          </w:p>
        </w:tc>
      </w:tr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Risk Factors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types of OM: PVD, DM, trauma/fractures, surgery, hardware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hematogenous OM: IVDU, endocarditis, sickle cell disease</w:t>
            </w:r>
          </w:p>
        </w:tc>
      </w:tr>
      <w:tr w:rsidR="00B049B6" w:rsidTr="00CC0652">
        <w:tc>
          <w:tcPr>
            <w:tcW w:w="1268" w:type="dxa"/>
            <w:vMerge w:val="restart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Pathogens</w:t>
            </w:r>
          </w:p>
        </w:tc>
        <w:tc>
          <w:tcPr>
            <w:tcW w:w="9522" w:type="dxa"/>
            <w:gridSpan w:val="4"/>
            <w:shd w:val="clear" w:color="auto" w:fill="D9E2F3" w:themeFill="accent1" w:themeFillTint="33"/>
          </w:tcPr>
          <w:p w:rsidR="00B049B6" w:rsidRPr="003A7572" w:rsidRDefault="00B049B6" w:rsidP="00CC0652">
            <w:pPr>
              <w:rPr>
                <w:sz w:val="16"/>
                <w:szCs w:val="16"/>
              </w:rPr>
            </w:pPr>
            <w:r w:rsidRPr="00067418">
              <w:rPr>
                <w:b/>
                <w:bCs/>
                <w:sz w:val="16"/>
                <w:szCs w:val="16"/>
              </w:rPr>
              <w:t>Hematogenous Spread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usually monomicrobial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Non-IVDU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S. aureus (60%) | E. coli (esp if also E. coli UTI) | other causes: M. tuberculosis </w:t>
            </w:r>
            <w:r>
              <w:rPr>
                <w:sz w:val="16"/>
                <w:szCs w:val="16"/>
              </w:rPr>
              <w:tab/>
              <w:t>usually vertebral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IVDU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Pseudomonas (78%) | Kleb, Enterobacter, Serratia | Staph, Strep possible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possibe sternoclavicular / pelvic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2" w:type="dxa"/>
            <w:gridSpan w:val="4"/>
            <w:shd w:val="clear" w:color="auto" w:fill="D9E2F3" w:themeFill="accent1" w:themeFillTint="33"/>
          </w:tcPr>
          <w:p w:rsidR="00B049B6" w:rsidRPr="003A7572" w:rsidRDefault="00B049B6" w:rsidP="00CC0652">
            <w:pPr>
              <w:rPr>
                <w:sz w:val="16"/>
                <w:szCs w:val="16"/>
              </w:rPr>
            </w:pPr>
            <w:r w:rsidRPr="00067418">
              <w:rPr>
                <w:b/>
                <w:bCs/>
                <w:sz w:val="16"/>
                <w:szCs w:val="16"/>
              </w:rPr>
              <w:t>Contiguous Spread</w:t>
            </w:r>
            <w:r>
              <w:rPr>
                <w:sz w:val="16"/>
                <w:szCs w:val="16"/>
              </w:rPr>
              <w:t xml:space="preserve"> (can be polymicrobial)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Polymicrobial</w:t>
            </w:r>
            <w:r>
              <w:rPr>
                <w:sz w:val="16"/>
                <w:szCs w:val="16"/>
              </w:rPr>
              <w:tab/>
              <w:t>S. aureus (most common) | Strep, E. coli, CoNS, anaerobes, Pseudomonas (esp if punctured foot)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long bone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2" w:type="dxa"/>
            <w:gridSpan w:val="4"/>
            <w:shd w:val="clear" w:color="auto" w:fill="D9E2F3" w:themeFill="accent1" w:themeFillTint="33"/>
          </w:tcPr>
          <w:p w:rsidR="00B049B6" w:rsidRPr="00E8197A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rFonts w:cstheme="minorHAnsi"/>
                <w:b/>
                <w:bCs/>
                <w:sz w:val="16"/>
                <w:szCs w:val="16"/>
              </w:rPr>
              <w:t>°</w:t>
            </w:r>
            <w:r>
              <w:rPr>
                <w:b/>
                <w:bCs/>
                <w:sz w:val="16"/>
                <w:szCs w:val="16"/>
              </w:rPr>
              <w:t xml:space="preserve"> to Diabetic Foot (or severe PVD)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Polymicrobial</w:t>
            </w:r>
            <w:r>
              <w:rPr>
                <w:sz w:val="16"/>
                <w:szCs w:val="16"/>
              </w:rPr>
              <w:tab/>
              <w:t>Staph, Strep, Enterobacteriaceae | Enterococci, anaerobes (B. frag)</w:t>
            </w:r>
          </w:p>
        </w:tc>
      </w:tr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Complications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sinus tract formation, abscess, sepsis, septic arthritis, bone deformity, fractures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 vertebral OM </w:t>
            </w:r>
            <w:r w:rsidRPr="00CA78B0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extension into epidural space </w:t>
            </w:r>
            <w:r w:rsidRPr="00CA78B0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compression of spinal cord </w:t>
            </w:r>
            <w:r w:rsidRPr="00CA78B0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paraplegia or quadriplegia</w:t>
            </w:r>
          </w:p>
        </w:tc>
      </w:tr>
      <w:tr w:rsidR="00B049B6" w:rsidRPr="00DD3800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S/Sx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onset = gradually over several days | note: pain for vertebral OM presents as back and/or neck pain + fever</w:t>
            </w:r>
          </w:p>
          <w:p w:rsidR="00B049B6" w:rsidRPr="00DD3800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dull pain with or without movement (or sharp pain in extremes), tenderness, erythema, warmth, swelling +/- fevers, rigors, chills</w:t>
            </w:r>
          </w:p>
        </w:tc>
      </w:tr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bookmarkStart w:id="0" w:name="_GoBack"/>
            <w:r>
              <w:rPr>
                <w:b/>
                <w:bCs/>
                <w:sz w:val="16"/>
                <w:szCs w:val="16"/>
              </w:rPr>
              <w:t>Investigations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probing to bone | intention is for detecting diabetic foot infxn, but now commonly extends to any OM infxn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WBC, ESR/CRP | acute = elevated | chronic = may be normal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BCx may show no growth even in hematogenous OM, because OM can occur after bacteremia resolves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vitals, CBC, lytes, ESR/CRP, BCx</w:t>
            </w:r>
          </w:p>
        </w:tc>
      </w:tr>
      <w:bookmarkEnd w:id="0"/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Diagnosis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suspect hematogenous OM if s/sx present + recent bacteremia/endocarditis, fever, or IVDU | also consider if pt has other risk factors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suspect contiguous OM if s/sx present + recent cellulitis or trauma/injury | also consider if pt has other risk factors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Dx gold standard = bone biopsy + culture; however, Dx can be inferred if: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1. clinical + imaging supports Dx + BCx with likely pathogen (eg S. aureus)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2. bone biopsy </w:t>
            </w:r>
            <w:r w:rsidRPr="0016487A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bone histopathology supportive of Dx (in absence of positive Cx, especially after recent Abx administration)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3. clinical + imaging supports Dx + ESR/CRP elevation if Cx not feasible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imaginge | MRI preferred; if not feasible, then CT | negative imaging = OM unlikely</w:t>
            </w:r>
          </w:p>
          <w:p w:rsidR="00B049B6" w:rsidRPr="006B10E0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 | include fungal, TB, Brucella testing if host risk factors (immunocompromised)</w:t>
            </w:r>
          </w:p>
        </w:tc>
      </w:tr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DDx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SSTI, osteonecrosis, gout, fracture, bursitis, bone tumor</w:t>
            </w:r>
          </w:p>
        </w:tc>
      </w:tr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Goals of Tx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eradicate infection | 2. prevent mortality/hosp/morbidity | 3. prevent long-term sequelae (avascular/necrotic bone)</w:t>
            </w:r>
          </w:p>
        </w:tc>
      </w:tr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Tx Option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prompt tx with Abx and monitoring +/- debridement (usually yes)</w:t>
            </w:r>
          </w:p>
        </w:tc>
      </w:tr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Abx Bone Conc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Abx are usually given in high doses so adequate Abx concentration reached within bone/joint, but these suggested doses are empirical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--- surgical debridement allows for local Abx to be mixed in with carriers (eg polymethyl methacrylate cement)</w:t>
            </w:r>
          </w:p>
        </w:tc>
      </w:tr>
      <w:tr w:rsidR="00B049B6" w:rsidTr="00CC0652">
        <w:tc>
          <w:tcPr>
            <w:tcW w:w="1268" w:type="dxa"/>
            <w:vMerge w:val="restart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Pharmacotx</w:t>
            </w:r>
          </w:p>
        </w:tc>
        <w:tc>
          <w:tcPr>
            <w:tcW w:w="1149" w:type="dxa"/>
            <w:shd w:val="clear" w:color="auto" w:fill="D9E2F3" w:themeFill="accent1" w:themeFillTint="33"/>
          </w:tcPr>
          <w:p w:rsidR="00B049B6" w:rsidRPr="008B49FD" w:rsidRDefault="00B049B6" w:rsidP="00CC0652">
            <w:pPr>
              <w:rPr>
                <w:b/>
                <w:bCs/>
                <w:sz w:val="16"/>
                <w:szCs w:val="16"/>
              </w:rPr>
            </w:pPr>
            <w:r w:rsidRPr="008B49FD">
              <w:rPr>
                <w:b/>
                <w:bCs/>
                <w:sz w:val="16"/>
                <w:szCs w:val="16"/>
              </w:rPr>
              <w:t>Type</w:t>
            </w:r>
          </w:p>
        </w:tc>
        <w:tc>
          <w:tcPr>
            <w:tcW w:w="2789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Native Vertebral OM</w:t>
            </w:r>
          </w:p>
        </w:tc>
        <w:tc>
          <w:tcPr>
            <w:tcW w:w="2785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Hematogenous (non-vertebral)</w:t>
            </w:r>
          </w:p>
        </w:tc>
        <w:tc>
          <w:tcPr>
            <w:tcW w:w="2799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Contiguous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D9E2F3" w:themeFill="accent1" w:themeFillTint="33"/>
          </w:tcPr>
          <w:p w:rsidR="00B049B6" w:rsidRPr="008B49FD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Cultures</w:t>
            </w:r>
          </w:p>
        </w:tc>
        <w:tc>
          <w:tcPr>
            <w:tcW w:w="2789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Await culture before Abx unless septic</w:t>
            </w:r>
          </w:p>
        </w:tc>
        <w:tc>
          <w:tcPr>
            <w:tcW w:w="2785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Await culture before Abx unless septic</w:t>
            </w:r>
          </w:p>
        </w:tc>
        <w:tc>
          <w:tcPr>
            <w:tcW w:w="2799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Await culture before Abx unless septic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D9E2F3" w:themeFill="accent1" w:themeFillTint="33"/>
          </w:tcPr>
          <w:p w:rsidR="00B049B6" w:rsidRPr="00D57E5B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Debride</w:t>
            </w:r>
          </w:p>
        </w:tc>
        <w:tc>
          <w:tcPr>
            <w:tcW w:w="2789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785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2799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D9E2F3" w:themeFill="accent1" w:themeFillTint="33"/>
          </w:tcPr>
          <w:p w:rsidR="00B049B6" w:rsidRPr="00BE4DB3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Empiric (1)</w:t>
            </w:r>
          </w:p>
        </w:tc>
        <w:tc>
          <w:tcPr>
            <w:tcW w:w="2789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Vanco IV + Ceph 3/4</w:t>
            </w:r>
          </w:p>
        </w:tc>
        <w:tc>
          <w:tcPr>
            <w:tcW w:w="2785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Vanco IV + Ceph 3/4</w:t>
            </w:r>
          </w:p>
        </w:tc>
        <w:tc>
          <w:tcPr>
            <w:tcW w:w="2799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Vanco IV + Ceph 3/4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D9E2F3" w:themeFill="accent1" w:themeFillTint="33"/>
          </w:tcPr>
          <w:p w:rsidR="00B049B6" w:rsidRPr="00B67D44" w:rsidRDefault="00B049B6" w:rsidP="00CC0652">
            <w:pPr>
              <w:rPr>
                <w:b/>
                <w:bCs/>
                <w:sz w:val="16"/>
                <w:szCs w:val="16"/>
              </w:rPr>
            </w:pPr>
            <w:r w:rsidRPr="00B67D44">
              <w:rPr>
                <w:b/>
                <w:bCs/>
                <w:sz w:val="16"/>
                <w:szCs w:val="16"/>
              </w:rPr>
              <w:t>Empiric (alt)</w:t>
            </w:r>
          </w:p>
        </w:tc>
        <w:tc>
          <w:tcPr>
            <w:tcW w:w="2789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Linezold 600mg IV BID + FQ</w:t>
            </w:r>
          </w:p>
        </w:tc>
        <w:tc>
          <w:tcPr>
            <w:tcW w:w="2785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Linezold 600mg IV BID + FQ</w:t>
            </w:r>
          </w:p>
        </w:tc>
        <w:tc>
          <w:tcPr>
            <w:tcW w:w="2799" w:type="dxa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Linez 600mg IV BID + Ceph 3/4 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D9E2F3" w:themeFill="accent1" w:themeFillTint="33"/>
          </w:tcPr>
          <w:p w:rsidR="00B049B6" w:rsidRPr="00B67D44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Anaerobic?</w:t>
            </w:r>
          </w:p>
        </w:tc>
        <w:tc>
          <w:tcPr>
            <w:tcW w:w="8373" w:type="dxa"/>
            <w:gridSpan w:val="3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Anaerobic coverage is not usually necessary unless suspicious source (eg concomitant intra-abdo infxn)</w:t>
            </w:r>
          </w:p>
        </w:tc>
      </w:tr>
      <w:tr w:rsidR="00B049B6" w:rsidTr="00CC0652">
        <w:tc>
          <w:tcPr>
            <w:tcW w:w="1268" w:type="dxa"/>
            <w:vMerge w:val="restart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Targetted Tx</w:t>
            </w:r>
          </w:p>
        </w:tc>
        <w:tc>
          <w:tcPr>
            <w:tcW w:w="1149" w:type="dxa"/>
            <w:shd w:val="clear" w:color="auto" w:fill="D9E2F3" w:themeFill="accent1" w:themeFillTint="33"/>
          </w:tcPr>
          <w:p w:rsidR="00B049B6" w:rsidRPr="003668B3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MSSA</w:t>
            </w:r>
          </w:p>
        </w:tc>
        <w:tc>
          <w:tcPr>
            <w:tcW w:w="8373" w:type="dxa"/>
            <w:gridSpan w:val="3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Cloxacillin 2g IV q4h</w:t>
            </w:r>
            <w:r>
              <w:rPr>
                <w:sz w:val="16"/>
                <w:szCs w:val="16"/>
              </w:rPr>
              <w:tab/>
              <w:t>or</w:t>
            </w:r>
            <w:r>
              <w:rPr>
                <w:sz w:val="16"/>
                <w:szCs w:val="16"/>
              </w:rPr>
              <w:tab/>
              <w:t>Cefazolin 2g IV q8h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MRSA</w:t>
            </w:r>
          </w:p>
        </w:tc>
        <w:tc>
          <w:tcPr>
            <w:tcW w:w="8373" w:type="dxa"/>
            <w:gridSpan w:val="3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Vancomycin IV</w:t>
            </w:r>
            <w:r>
              <w:rPr>
                <w:sz w:val="16"/>
                <w:szCs w:val="16"/>
              </w:rPr>
              <w:tab/>
              <w:t>or</w:t>
            </w:r>
            <w:r>
              <w:rPr>
                <w:sz w:val="16"/>
                <w:szCs w:val="16"/>
              </w:rPr>
              <w:tab/>
              <w:t>Daptomycin 6-10 mg/kg IV q24h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hardware, consider ADDING rifampin 300mg po BID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Streptococcus</w:t>
            </w:r>
          </w:p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Enterococcus</w:t>
            </w:r>
          </w:p>
        </w:tc>
        <w:tc>
          <w:tcPr>
            <w:tcW w:w="8373" w:type="dxa"/>
            <w:gridSpan w:val="3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penicillin susceptible:</w:t>
            </w:r>
            <w:r>
              <w:rPr>
                <w:sz w:val="16"/>
                <w:szCs w:val="16"/>
              </w:rPr>
              <w:tab/>
              <w:t>Pen G or Ampi (but dosed q4h) | alt = ceftriaxone or vanco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penicillin resistant: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Vanco</w:t>
            </w:r>
          </w:p>
        </w:tc>
      </w:tr>
      <w:tr w:rsidR="00B049B6" w:rsidTr="00CC0652">
        <w:tc>
          <w:tcPr>
            <w:tcW w:w="1268" w:type="dxa"/>
            <w:vMerge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GNB</w:t>
            </w:r>
          </w:p>
        </w:tc>
        <w:tc>
          <w:tcPr>
            <w:tcW w:w="8373" w:type="dxa"/>
            <w:gridSpan w:val="3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Cipro 750mg po BID or 400mg IV q8-12h (q8h if Pseudomonas, otherwise q12h)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Levofloxacin 750mg po or IV q24h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Cetriaxone 2g IV q24h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Ceftazadime 2g IV q8h</w:t>
            </w:r>
          </w:p>
        </w:tc>
      </w:tr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Duration of Tx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no hardware: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optimal duration unknown, but in practice, usually 4-6 weeks after last major debridement 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--- unless in vertebral: OM ESRD, MRSA, or undrained paravertebral/psoas abscess </w:t>
            </w:r>
            <w:r w:rsidRPr="00CF2FC8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&gt; 8 weeks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--- unless complete removal of bone / amputation, then short duration </w:t>
            </w:r>
            <w:r w:rsidRPr="00AE6F26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2-5 days post debride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yes hardware but removed:</w:t>
            </w:r>
            <w:r>
              <w:rPr>
                <w:sz w:val="16"/>
                <w:szCs w:val="16"/>
              </w:rPr>
              <w:tab/>
              <w:t>minimum 6 weeks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yes hardware but retained:</w:t>
            </w:r>
            <w:r>
              <w:rPr>
                <w:sz w:val="16"/>
                <w:szCs w:val="16"/>
              </w:rPr>
              <w:tab/>
              <w:t>6 weeks, then give ongoing po suppression therapy at least until fractures are united (but may be longer)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MSSA (cephalexin 500mg QID) | MRSA, GNB (SMX-TMP 800/160 BID) | Strep/Enterococci (Amox 500 TID)</w:t>
            </w:r>
          </w:p>
        </w:tc>
      </w:tr>
      <w:tr w:rsidR="00B049B6" w:rsidTr="00CC0652"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Step-Down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reasonable to consider [home IV or stepdown po tx] upon good clinical response to IV therapy and no vascular insuff (PVD, DM)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--- 6-weeks po tx non-inf to 6-weeks IV tx for OM (</w:t>
            </w:r>
            <w:r w:rsidRPr="00056ED9">
              <w:rPr>
                <w:b/>
                <w:bCs/>
                <w:sz w:val="16"/>
                <w:szCs w:val="16"/>
              </w:rPr>
              <w:t>OVIVA</w:t>
            </w:r>
            <w:r>
              <w:rPr>
                <w:sz w:val="16"/>
                <w:szCs w:val="16"/>
              </w:rPr>
              <w:t>), but trial limitations: different Abx + po group had 50% adjunct rifampin</w:t>
            </w:r>
          </w:p>
        </w:tc>
      </w:tr>
      <w:tr w:rsidR="00B049B6" w:rsidTr="00CC0652">
        <w:trPr>
          <w:trHeight w:val="58"/>
        </w:trPr>
        <w:tc>
          <w:tcPr>
            <w:tcW w:w="1268" w:type="dxa"/>
            <w:shd w:val="clear" w:color="auto" w:fill="D9E2F3" w:themeFill="accent1" w:themeFillTint="33"/>
          </w:tcPr>
          <w:p w:rsidR="00B049B6" w:rsidRDefault="00B049B6" w:rsidP="00CC065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Monitoring</w:t>
            </w:r>
          </w:p>
        </w:tc>
        <w:tc>
          <w:tcPr>
            <w:tcW w:w="9522" w:type="dxa"/>
            <w:gridSpan w:val="4"/>
          </w:tcPr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E: vitals, s/sx, CBC, ESR/CRP [daily </w:t>
            </w:r>
            <w:r w:rsidRPr="00B72EDA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weekly]</w:t>
            </w:r>
          </w:p>
          <w:p w:rsidR="00B049B6" w:rsidRDefault="00B049B6" w:rsidP="00CC06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S: ADR, adherence (since long duration of tx)</w:t>
            </w:r>
          </w:p>
        </w:tc>
      </w:tr>
    </w:tbl>
    <w:p w:rsidR="00B049B6" w:rsidRDefault="00B049B6" w:rsidP="00B049B6">
      <w:pPr>
        <w:spacing w:after="0"/>
        <w:rPr>
          <w:sz w:val="8"/>
          <w:szCs w:val="8"/>
        </w:rPr>
      </w:pPr>
    </w:p>
    <w:p w:rsidR="00B049B6" w:rsidRPr="006E6C20" w:rsidRDefault="00B049B6" w:rsidP="00B049B6">
      <w:pPr>
        <w:spacing w:after="0"/>
        <w:rPr>
          <w:sz w:val="8"/>
          <w:szCs w:val="8"/>
        </w:rPr>
      </w:pPr>
    </w:p>
    <w:p w:rsidR="00691C1F" w:rsidRPr="00B049B6" w:rsidRDefault="00B049B6" w:rsidP="00B049B6"/>
    <w:sectPr w:rsidR="00691C1F" w:rsidRPr="00B049B6" w:rsidSect="00B049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B6"/>
    <w:rsid w:val="0006204F"/>
    <w:rsid w:val="00156F00"/>
    <w:rsid w:val="0046648A"/>
    <w:rsid w:val="00927A67"/>
    <w:rsid w:val="00A01404"/>
    <w:rsid w:val="00B049B6"/>
    <w:rsid w:val="00C8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F7017A-9F8F-4E15-8986-621FBE3B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9B6"/>
    <w:pPr>
      <w:keepNext/>
      <w:keepLines/>
      <w:spacing w:after="0"/>
      <w:outlineLvl w:val="0"/>
    </w:pPr>
    <w:rPr>
      <w:rFonts w:eastAsiaTheme="majorEastAsia" w:cstheme="majorBidi"/>
      <w:b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9B6"/>
    <w:rPr>
      <w:rFonts w:eastAsiaTheme="majorEastAsia" w:cstheme="majorBidi"/>
      <w:b/>
      <w:sz w:val="24"/>
      <w:szCs w:val="32"/>
      <w:u w:val="single"/>
    </w:rPr>
  </w:style>
  <w:style w:type="table" w:styleId="TableGrid">
    <w:name w:val="Table Grid"/>
    <w:basedOn w:val="TableNormal"/>
    <w:uiPriority w:val="39"/>
    <w:rsid w:val="00B04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Chang</dc:creator>
  <cp:keywords/>
  <dc:description/>
  <cp:lastModifiedBy>Ming Chang</cp:lastModifiedBy>
  <cp:revision>1</cp:revision>
  <dcterms:created xsi:type="dcterms:W3CDTF">2020-01-04T06:45:00Z</dcterms:created>
  <dcterms:modified xsi:type="dcterms:W3CDTF">2020-01-04T06:45:00Z</dcterms:modified>
</cp:coreProperties>
</file>