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E03" w:rsidRPr="00C1140B" w:rsidRDefault="00092E03" w:rsidP="00092E03">
      <w:pPr>
        <w:pStyle w:val="Heading1"/>
      </w:pPr>
      <w:r>
        <w:t xml:space="preserve">Infective </w:t>
      </w:r>
      <w:r w:rsidRPr="00C1140B">
        <w:t>Endocarditis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48"/>
        <w:gridCol w:w="409"/>
        <w:gridCol w:w="586"/>
        <w:gridCol w:w="7376"/>
      </w:tblGrid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Definition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endocardium | inner membrane lining of heart chambers and heart valves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endocarditis | most commonly, infection of of heart valves</w:t>
            </w:r>
          </w:p>
        </w:tc>
      </w:tr>
      <w:tr w:rsidR="00092E03" w:rsidTr="00ED7AAE">
        <w:trPr>
          <w:trHeight w:val="54"/>
        </w:trPr>
        <w:tc>
          <w:tcPr>
            <w:tcW w:w="1271" w:type="dxa"/>
            <w:vMerge w:val="restart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Classification</w:t>
            </w:r>
          </w:p>
        </w:tc>
        <w:tc>
          <w:tcPr>
            <w:tcW w:w="1557" w:type="dxa"/>
            <w:gridSpan w:val="2"/>
            <w:shd w:val="clear" w:color="auto" w:fill="D9E2F3" w:themeFill="accent1" w:themeFillTint="33"/>
          </w:tcPr>
          <w:p w:rsidR="00092E03" w:rsidRPr="0080063B" w:rsidRDefault="00092E03" w:rsidP="00ED7AAE">
            <w:pPr>
              <w:rPr>
                <w:b/>
                <w:bCs/>
                <w:sz w:val="16"/>
                <w:szCs w:val="16"/>
              </w:rPr>
            </w:pPr>
            <w:r w:rsidRPr="0080063B">
              <w:rPr>
                <w:b/>
                <w:bCs/>
                <w:sz w:val="16"/>
                <w:szCs w:val="16"/>
              </w:rPr>
              <w:t>CA vs HCA</w:t>
            </w:r>
          </w:p>
        </w:tc>
        <w:tc>
          <w:tcPr>
            <w:tcW w:w="7962" w:type="dxa"/>
            <w:gridSpan w:val="2"/>
          </w:tcPr>
          <w:p w:rsidR="00092E03" w:rsidRDefault="00092E03" w:rsidP="00ED7AAE">
            <w:pPr>
              <w:rPr>
                <w:sz w:val="16"/>
                <w:szCs w:val="16"/>
              </w:rPr>
            </w:pPr>
          </w:p>
        </w:tc>
      </w:tr>
      <w:tr w:rsidR="00092E03" w:rsidTr="00ED7AAE">
        <w:trPr>
          <w:trHeight w:val="53"/>
        </w:trPr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shd w:val="clear" w:color="auto" w:fill="D9E2F3" w:themeFill="accent1" w:themeFillTint="33"/>
          </w:tcPr>
          <w:p w:rsidR="00092E03" w:rsidRPr="0080063B" w:rsidRDefault="00092E03" w:rsidP="00ED7AAE">
            <w:pPr>
              <w:rPr>
                <w:b/>
                <w:bCs/>
                <w:sz w:val="16"/>
                <w:szCs w:val="16"/>
              </w:rPr>
            </w:pPr>
            <w:r w:rsidRPr="0080063B">
              <w:rPr>
                <w:b/>
                <w:bCs/>
                <w:sz w:val="16"/>
                <w:szCs w:val="16"/>
              </w:rPr>
              <w:t>acute vs subacute</w:t>
            </w:r>
          </w:p>
        </w:tc>
        <w:tc>
          <w:tcPr>
            <w:tcW w:w="7962" w:type="dxa"/>
            <w:gridSpan w:val="2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acute |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fulminating form associated with high fevers and systemic toxicity | usually S. aureus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subacute |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less invasive | Viridans Strep</w:t>
            </w:r>
          </w:p>
        </w:tc>
      </w:tr>
      <w:tr w:rsidR="00092E03" w:rsidTr="00ED7AAE">
        <w:trPr>
          <w:trHeight w:val="53"/>
        </w:trPr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shd w:val="clear" w:color="auto" w:fill="D9E2F3" w:themeFill="accent1" w:themeFillTint="33"/>
          </w:tcPr>
          <w:p w:rsidR="00092E03" w:rsidRPr="0080063B" w:rsidRDefault="00092E03" w:rsidP="00ED7AAE">
            <w:pPr>
              <w:rPr>
                <w:b/>
                <w:bCs/>
                <w:sz w:val="16"/>
                <w:szCs w:val="16"/>
              </w:rPr>
            </w:pPr>
            <w:r w:rsidRPr="0080063B">
              <w:rPr>
                <w:b/>
                <w:bCs/>
                <w:sz w:val="16"/>
                <w:szCs w:val="16"/>
              </w:rPr>
              <w:t>etiology</w:t>
            </w:r>
          </w:p>
        </w:tc>
        <w:tc>
          <w:tcPr>
            <w:tcW w:w="7962" w:type="dxa"/>
            <w:gridSpan w:val="2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bacterial, fungal, viral</w:t>
            </w:r>
          </w:p>
        </w:tc>
      </w:tr>
      <w:tr w:rsidR="00092E03" w:rsidTr="00ED7AAE">
        <w:trPr>
          <w:trHeight w:val="53"/>
        </w:trPr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shd w:val="clear" w:color="auto" w:fill="D9E2F3" w:themeFill="accent1" w:themeFillTint="33"/>
          </w:tcPr>
          <w:p w:rsidR="00092E03" w:rsidRPr="0080063B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anatomy</w:t>
            </w:r>
          </w:p>
        </w:tc>
        <w:tc>
          <w:tcPr>
            <w:tcW w:w="7962" w:type="dxa"/>
            <w:gridSpan w:val="2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left-sided native valve (NVE) |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right-sided native valve (NVE) |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most commonly d/t IVDU, hardware or abnormality in right-side of heart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prosthetic valve endocarditis (PVE) |</w:t>
            </w:r>
            <w:r>
              <w:rPr>
                <w:sz w:val="16"/>
                <w:szCs w:val="16"/>
              </w:rPr>
              <w:tab/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Pathophys</w:t>
            </w:r>
          </w:p>
        </w:tc>
        <w:tc>
          <w:tcPr>
            <w:tcW w:w="9519" w:type="dxa"/>
            <w:gridSpan w:val="4"/>
          </w:tcPr>
          <w:p w:rsidR="00092E03" w:rsidRPr="00DD3800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heart/valve abnormalities or damage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turbulent blood flow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platelet and fibrin deposition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thrombus formation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bacteremia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bacteria adheres (usually Gm+ve bacteria as more “sticky”)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“vegetation” forms </w:t>
            </w:r>
            <w:r w:rsidRPr="00FC254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fibrin/platelet forms protective cover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 Factors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 60+, male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CVD: valvular (</w:t>
            </w:r>
            <w:r w:rsidRPr="009A15C2">
              <w:rPr>
                <w:b/>
                <w:bCs/>
                <w:sz w:val="16"/>
                <w:szCs w:val="16"/>
              </w:rPr>
              <w:t>prosthesis, previous IE</w:t>
            </w:r>
            <w:r>
              <w:rPr>
                <w:sz w:val="16"/>
                <w:szCs w:val="16"/>
              </w:rPr>
              <w:t>, mitral valve prolapse, valvular defect, TAVR), structural heart disease (hypertrophic cardiomyopathy)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Comorbidities: DM, hemodialysis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Exposure: IVDU, poor dental hygiene, healthcare exposure, implantable cardiac device (any hardware in area [pacemaker, valve, etc]</w:t>
            </w:r>
          </w:p>
        </w:tc>
      </w:tr>
      <w:tr w:rsidR="00092E03" w:rsidTr="00ED7AAE">
        <w:trPr>
          <w:trHeight w:val="50"/>
        </w:trPr>
        <w:tc>
          <w:tcPr>
            <w:tcW w:w="1271" w:type="dxa"/>
            <w:vMerge w:val="restart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Pathogens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:rsidR="00092E03" w:rsidRPr="00FC254C" w:rsidRDefault="00092E03" w:rsidP="00ED7AAE">
            <w:pPr>
              <w:rPr>
                <w:b/>
                <w:bCs/>
                <w:sz w:val="16"/>
                <w:szCs w:val="16"/>
              </w:rPr>
            </w:pPr>
            <w:r w:rsidRPr="00FC254C">
              <w:rPr>
                <w:b/>
                <w:bCs/>
                <w:sz w:val="16"/>
                <w:szCs w:val="16"/>
              </w:rPr>
              <w:t>in general</w:t>
            </w:r>
          </w:p>
        </w:tc>
        <w:tc>
          <w:tcPr>
            <w:tcW w:w="8371" w:type="dxa"/>
            <w:gridSpan w:val="3"/>
            <w:shd w:val="clear" w:color="auto" w:fill="auto"/>
          </w:tcPr>
          <w:p w:rsidR="00092E03" w:rsidRPr="003A7572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most commonly Staph aureus (31%), Viridans Strep (17%), Enterococci (11%) | Gm+ve bacteria more “sticky”</w:t>
            </w:r>
          </w:p>
        </w:tc>
      </w:tr>
      <w:tr w:rsidR="00092E03" w:rsidTr="00ED7AAE">
        <w:trPr>
          <w:trHeight w:val="146"/>
        </w:trPr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shd w:val="clear" w:color="auto" w:fill="D9E2F3" w:themeFill="accent1" w:themeFillTint="33"/>
          </w:tcPr>
          <w:p w:rsidR="00092E03" w:rsidRPr="00FC254C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also possible</w:t>
            </w:r>
          </w:p>
        </w:tc>
        <w:tc>
          <w:tcPr>
            <w:tcW w:w="8371" w:type="dxa"/>
            <w:gridSpan w:val="3"/>
            <w:shd w:val="clear" w:color="auto" w:fill="auto"/>
          </w:tcPr>
          <w:p w:rsidR="00092E03" w:rsidRPr="003A7572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Strep gallolyticus, AFB </w:t>
            </w:r>
            <w:r w:rsidRPr="006D7CD1">
              <w:rPr>
                <w:sz w:val="16"/>
                <w:szCs w:val="16"/>
              </w:rPr>
              <w:t>HACEK (Haemophilus aphrophilus, Actinobacillus, Cardiobacterium, Eikenella, Kingella)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Complications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morality within days to weeks if virulent pathology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perivalvular damage </w:t>
            </w:r>
            <w:r w:rsidRPr="00BF71B5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HF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septic emboli </w:t>
            </w:r>
            <w:r w:rsidRPr="00BF71B5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organ abscess/infarct (right side IE </w:t>
            </w:r>
            <w:r w:rsidRPr="00BF71B5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PE/pulm abscess | left side IE </w:t>
            </w:r>
            <w:r w:rsidRPr="00BF71B5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kidney, spleen, brain)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formation of antibody complexes</w:t>
            </w:r>
          </w:p>
        </w:tc>
      </w:tr>
      <w:tr w:rsidR="00092E03" w:rsidRPr="00DD3800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S/Sx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highly variable and non-specific |fever, murmur (new or changing) +/- chills, weakness, dyspnea, splenomegaly, petechiae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highly suggestive s/sx: Osler nodes (purple papules on pads of digits), Janeway lesions (hemorrhagic, painless plaques on palms), Roth spots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septic emboli </w:t>
            </w:r>
            <w:r w:rsidRPr="00F4063E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right sided (PE + hemoptysis) | left sided (flank pain + hematuria // abdo pain // cerebral embolus + altered LOC)</w:t>
            </w:r>
          </w:p>
          <w:p w:rsidR="00092E03" w:rsidRPr="00DD3800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ongoing bacteremia d/t shedding of veggie </w:t>
            </w:r>
            <w:r w:rsidRPr="006949CC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seeding to OM, septic arthritis, etc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Investigations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vitals, CBC, lytes, SCr, BUN, ESR/CRP, BCx, ECG, Echo, CT chest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Diagnosis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Modified Duke Criteria (originally designed for left-sided IE (both NVE and PVE); but may be applied to right-sided IE with caution):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Confirmed |</w:t>
            </w:r>
            <w:r>
              <w:rPr>
                <w:sz w:val="16"/>
                <w:szCs w:val="16"/>
              </w:rPr>
              <w:tab/>
              <w:t>2 major | 1 major + 3 minor | 5 minor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Possible |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1 major + 1 minor | 3 minor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Rejected |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alternate dx | resolution of clinical s/sx w/ </w:t>
            </w:r>
            <w:r>
              <w:rPr>
                <w:rFonts w:cstheme="minorHAnsi"/>
                <w:sz w:val="16"/>
                <w:szCs w:val="16"/>
              </w:rPr>
              <w:t>≤</w:t>
            </w:r>
            <w:r>
              <w:rPr>
                <w:sz w:val="16"/>
                <w:szCs w:val="16"/>
              </w:rPr>
              <w:t xml:space="preserve"> 4days Abx | no pathologic evidence of IE | above criteria not met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4"/>
              <w:gridCol w:w="8669"/>
            </w:tblGrid>
            <w:tr w:rsidR="00092E03" w:rsidTr="00ED7AAE">
              <w:tc>
                <w:tcPr>
                  <w:tcW w:w="458" w:type="dxa"/>
                  <w:shd w:val="clear" w:color="auto" w:fill="D9E2F3" w:themeFill="accent1" w:themeFillTint="33"/>
                </w:tcPr>
                <w:p w:rsidR="00092E03" w:rsidRPr="00643720" w:rsidRDefault="00092E03" w:rsidP="00ED7AAE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643720">
                    <w:rPr>
                      <w:b/>
                      <w:bCs/>
                      <w:sz w:val="16"/>
                      <w:szCs w:val="16"/>
                    </w:rPr>
                    <w:t>Major</w:t>
                  </w:r>
                </w:p>
              </w:tc>
              <w:tc>
                <w:tcPr>
                  <w:tcW w:w="8835" w:type="dxa"/>
                </w:tcPr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infectious picture (1 of):</w:t>
                  </w:r>
                  <w:r>
                    <w:rPr>
                      <w:sz w:val="16"/>
                      <w:szCs w:val="16"/>
                    </w:rPr>
                    <w:tab/>
                    <w:t>2 separate +ve BCx | persistent BCx (drawn 12 hrs apart) | 1 +ve Coxiella BCx</w:t>
                  </w:r>
                </w:p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>- BCx for Staph, Strep, Enterococcus, HACEK</w:t>
                  </w:r>
                </w:p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cardiac picture (1 of):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>Echo = veggie/abscess | new valvular regurg</w:t>
                  </w:r>
                </w:p>
              </w:tc>
            </w:tr>
            <w:tr w:rsidR="00092E03" w:rsidTr="00ED7AAE">
              <w:tc>
                <w:tcPr>
                  <w:tcW w:w="458" w:type="dxa"/>
                  <w:shd w:val="clear" w:color="auto" w:fill="D9E2F3" w:themeFill="accent1" w:themeFillTint="33"/>
                </w:tcPr>
                <w:p w:rsidR="00092E03" w:rsidRPr="00643720" w:rsidRDefault="00092E03" w:rsidP="00ED7AAE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643720">
                    <w:rPr>
                      <w:b/>
                      <w:bCs/>
                      <w:sz w:val="16"/>
                      <w:szCs w:val="16"/>
                    </w:rPr>
                    <w:t>Minor</w:t>
                  </w:r>
                </w:p>
              </w:tc>
              <w:tc>
                <w:tcPr>
                  <w:tcW w:w="8835" w:type="dxa"/>
                </w:tcPr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1. predisposition (IVDU, cardiac comorbidities)</w:t>
                  </w:r>
                </w:p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2. fever &gt; 38</w:t>
                  </w:r>
                </w:p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3. vascular phenomenon (arterial emboli, septic emboli, intracranial hemorrhage, Janeway lesions, etc)</w:t>
                  </w:r>
                </w:p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4. immunologic phenomena (GN, Osler nodes, Roth spots, rheumatoid factor)</w:t>
                  </w:r>
                </w:p>
                <w:p w:rsidR="00092E03" w:rsidRDefault="00092E03" w:rsidP="00ED7AA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5. microbiologic evidence that does not meet “Major” criteria above</w:t>
                  </w:r>
                </w:p>
              </w:tc>
            </w:tr>
          </w:tbl>
          <w:p w:rsidR="00092E03" w:rsidRPr="006B10E0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Echo |</w:t>
            </w:r>
            <w:r>
              <w:rPr>
                <w:sz w:val="16"/>
                <w:szCs w:val="16"/>
              </w:rPr>
              <w:tab/>
              <w:t xml:space="preserve">TTE vs TEE sensitivity (75% vs 90+%) | negative TTE does not r/o IE </w:t>
            </w:r>
            <w:r w:rsidRPr="00135313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proceed TEE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DDx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sources of infxn (including hardware in other regions), PE, PNA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Goals of Tx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eradicate infxn | 2. alleviate s/sx | 3. prevent mortality/hosp/morbidity | 4. prevent recurrence | 5. prevent downstream complications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Non-Pharm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valvectomy or valve replacement | early surgery improves prognosis and reduces risk of systemic embolization in left-sided IE 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Tx Option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empiric tx not always necessary; if possible, wait for BCx results | if pt critically ill, then draw BCx before administering Abx</w:t>
            </w:r>
          </w:p>
        </w:tc>
      </w:tr>
      <w:tr w:rsidR="00092E03" w:rsidTr="00ED7AAE">
        <w:tc>
          <w:tcPr>
            <w:tcW w:w="1271" w:type="dxa"/>
            <w:vMerge w:val="restart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Pharmacotx</w:t>
            </w:r>
          </w:p>
        </w:tc>
        <w:tc>
          <w:tcPr>
            <w:tcW w:w="1557" w:type="dxa"/>
            <w:gridSpan w:val="2"/>
            <w:shd w:val="clear" w:color="auto" w:fill="D9E2F3" w:themeFill="accent1" w:themeFillTint="33"/>
          </w:tcPr>
          <w:p w:rsidR="00092E03" w:rsidRPr="008B49FD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Bug</w:t>
            </w:r>
          </w:p>
        </w:tc>
        <w:tc>
          <w:tcPr>
            <w:tcW w:w="586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Valve</w:t>
            </w:r>
          </w:p>
        </w:tc>
        <w:tc>
          <w:tcPr>
            <w:tcW w:w="7376" w:type="dxa"/>
            <w:shd w:val="clear" w:color="auto" w:fill="D9E2F3" w:themeFill="accent1" w:themeFillTint="33"/>
          </w:tcPr>
          <w:p w:rsidR="00092E03" w:rsidRPr="008F14AB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Tx (Sanford’s)</w:t>
            </w:r>
            <w:r>
              <w:rPr>
                <w:b/>
                <w:bCs/>
                <w:sz w:val="16"/>
                <w:szCs w:val="16"/>
              </w:rPr>
              <w:tab/>
              <w:t>***Duration</w:t>
            </w:r>
          </w:p>
        </w:tc>
      </w:tr>
      <w:tr w:rsidR="00092E03" w:rsidTr="00ED7AAE">
        <w:trPr>
          <w:trHeight w:val="165"/>
        </w:trPr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  <w:r w:rsidRPr="008F14AB">
              <w:rPr>
                <w:sz w:val="16"/>
                <w:szCs w:val="16"/>
              </w:rPr>
              <w:t>Empiric in Critical Ill</w:t>
            </w:r>
          </w:p>
        </w:tc>
        <w:tc>
          <w:tcPr>
            <w:tcW w:w="586" w:type="dxa"/>
          </w:tcPr>
          <w:p w:rsidR="00092E03" w:rsidRPr="00F5636B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NVE</w:t>
            </w:r>
          </w:p>
        </w:tc>
        <w:tc>
          <w:tcPr>
            <w:tcW w:w="7376" w:type="dxa"/>
            <w:shd w:val="clear" w:color="auto" w:fill="auto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Vancomycin IV + Ceftriaxone 2g IV q24h</w:t>
            </w:r>
          </w:p>
        </w:tc>
      </w:tr>
      <w:tr w:rsidR="00092E03" w:rsidTr="00ED7AAE">
        <w:trPr>
          <w:trHeight w:val="165"/>
        </w:trPr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PVE</w:t>
            </w:r>
          </w:p>
        </w:tc>
        <w:tc>
          <w:tcPr>
            <w:tcW w:w="7376" w:type="dxa"/>
            <w:shd w:val="clear" w:color="auto" w:fill="auto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Vancomycin IV + Gent </w:t>
            </w:r>
            <w:r w:rsidRPr="00253444">
              <w:rPr>
                <w:sz w:val="16"/>
                <w:szCs w:val="16"/>
                <w:u w:val="single"/>
              </w:rPr>
              <w:t>1mg/kg</w:t>
            </w:r>
            <w:r>
              <w:rPr>
                <w:sz w:val="16"/>
                <w:szCs w:val="16"/>
              </w:rPr>
              <w:t xml:space="preserve"> IV q8h +/- Rifampin 300mg PO/IV q8h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MSSA</w:t>
            </w: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NVE 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Clox 2g IV q4h (4-6 weeks)</w:t>
            </w:r>
            <w:r>
              <w:rPr>
                <w:sz w:val="16"/>
                <w:szCs w:val="16"/>
              </w:rPr>
              <w:tab/>
              <w:t>[Cefazolin 2g IV q8h is reasonable alternative]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Clox 2g IV q4h (6+ weeks) + Gent </w:t>
            </w:r>
            <w:r w:rsidRPr="00253444">
              <w:rPr>
                <w:sz w:val="16"/>
                <w:szCs w:val="16"/>
                <w:u w:val="single"/>
              </w:rPr>
              <w:t>1mg/kg</w:t>
            </w:r>
            <w:r>
              <w:rPr>
                <w:sz w:val="16"/>
                <w:szCs w:val="16"/>
              </w:rPr>
              <w:t xml:space="preserve"> IV q8h (2 weeks) +/- Rifampin 300mg PO/IV q8h (6+ weeks)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MRSA</w:t>
            </w:r>
          </w:p>
          <w:p w:rsidR="00092E03" w:rsidRPr="008F14AB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(CoNS, treat as PVE)</w:t>
            </w: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Vancomycin IV (6 weeks)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Vancomycin IV (6+ weeks) + Gent </w:t>
            </w:r>
            <w:r w:rsidRPr="00253444">
              <w:rPr>
                <w:sz w:val="16"/>
                <w:szCs w:val="16"/>
                <w:u w:val="single"/>
              </w:rPr>
              <w:t>1mg/kg</w:t>
            </w:r>
            <w:r>
              <w:rPr>
                <w:sz w:val="16"/>
                <w:szCs w:val="16"/>
              </w:rPr>
              <w:t xml:space="preserve"> IV q8h (2 weeks) +/- Rifampin 300mg PO/IV q8h (6+ weeks)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Strep</w:t>
            </w:r>
          </w:p>
          <w:p w:rsidR="00092E03" w:rsidRPr="008F14AB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(see Sanford’s)</w:t>
            </w: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Dependent on Pen G MIC | generally Pen G or Ceftriaxone (4 weeks) + Gent (2 weeks) | Vanco (6 weeks)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092E03" w:rsidRDefault="00092E03" w:rsidP="00ED7AAE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Dependent on Pen G MIC | generally Pen G or Ceftriaxone (6 weeks) + Gent (6 weeks) | Vanco (6 weeks)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 w:val="restart"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HACEK</w:t>
            </w: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Ceftriaxone 2g IV q24h (4 weeks) </w:t>
            </w:r>
            <w:r>
              <w:rPr>
                <w:sz w:val="16"/>
                <w:szCs w:val="16"/>
              </w:rPr>
              <w:tab/>
              <w:t>[Ciprofloxacin 400mg IV q12h is reasonable alternative]</w:t>
            </w:r>
          </w:p>
        </w:tc>
      </w:tr>
      <w:tr w:rsidR="00092E03" w:rsidTr="00ED7AAE">
        <w:tc>
          <w:tcPr>
            <w:tcW w:w="1271" w:type="dxa"/>
            <w:vMerge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vMerge/>
            <w:shd w:val="clear" w:color="auto" w:fill="auto"/>
          </w:tcPr>
          <w:p w:rsidR="00092E03" w:rsidRPr="008F14AB" w:rsidRDefault="00092E03" w:rsidP="00ED7AAE">
            <w:pPr>
              <w:rPr>
                <w:sz w:val="16"/>
                <w:szCs w:val="16"/>
              </w:rPr>
            </w:pPr>
          </w:p>
        </w:tc>
        <w:tc>
          <w:tcPr>
            <w:tcW w:w="58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PVE</w:t>
            </w:r>
          </w:p>
        </w:tc>
        <w:tc>
          <w:tcPr>
            <w:tcW w:w="7376" w:type="dxa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Cefritaxone 2g IV q24h (6 weeks) </w:t>
            </w:r>
            <w:r>
              <w:rPr>
                <w:sz w:val="16"/>
                <w:szCs w:val="16"/>
              </w:rPr>
              <w:tab/>
              <w:t>[Ciprofloxacin 400mg IV q12h is reasonable alternative]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Duration***</w:t>
            </w:r>
          </w:p>
        </w:tc>
        <w:tc>
          <w:tcPr>
            <w:tcW w:w="9519" w:type="dxa"/>
            <w:gridSpan w:val="4"/>
            <w:shd w:val="clear" w:color="auto" w:fill="auto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***Duration | should be counted from the first day of negative BCx</w:t>
            </w:r>
          </w:p>
        </w:tc>
      </w:tr>
      <w:tr w:rsidR="00092E03" w:rsidTr="00ED7AAE"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Step-Down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POET</w:t>
            </w:r>
            <w:r>
              <w:rPr>
                <w:sz w:val="16"/>
                <w:szCs w:val="16"/>
              </w:rPr>
              <w:t xml:space="preserve"> | in tx of left-sided GPC IE, once pt stable + after 10 days of IV tx </w:t>
            </w:r>
            <w:r w:rsidRPr="00E8644E"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stepdown PO is non-inferior to IV for remainder of duration of tx</w:t>
            </w:r>
          </w:p>
          <w:p w:rsidR="00092E03" w:rsidRPr="008D2E56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limitations: low IVDU population // pts f/u 2-3x/week (unrealistic) // poor randomization</w:t>
            </w:r>
          </w:p>
        </w:tc>
      </w:tr>
      <w:tr w:rsidR="00092E03" w:rsidTr="00ED7AAE">
        <w:trPr>
          <w:trHeight w:val="58"/>
        </w:trPr>
        <w:tc>
          <w:tcPr>
            <w:tcW w:w="1271" w:type="dxa"/>
            <w:shd w:val="clear" w:color="auto" w:fill="D9E2F3" w:themeFill="accent1" w:themeFillTint="33"/>
          </w:tcPr>
          <w:p w:rsidR="00092E03" w:rsidRDefault="00092E03" w:rsidP="00ED7A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Monitoring</w:t>
            </w:r>
          </w:p>
        </w:tc>
        <w:tc>
          <w:tcPr>
            <w:tcW w:w="9519" w:type="dxa"/>
            <w:gridSpan w:val="4"/>
          </w:tcPr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pts may remain febrile x 3-5 days (or 5-7 days if S. aureus)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E: vitals, CBC, lytes, murmur, Echo (7-10 days), BCx</w:t>
            </w:r>
          </w:p>
          <w:p w:rsidR="00092E03" w:rsidRDefault="00092E03" w:rsidP="00ED7A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S: ADR</w:t>
            </w:r>
          </w:p>
        </w:tc>
      </w:tr>
    </w:tbl>
    <w:p w:rsidR="00092E03" w:rsidRDefault="00092E03" w:rsidP="00092E03">
      <w:pPr>
        <w:spacing w:after="0"/>
        <w:rPr>
          <w:sz w:val="8"/>
          <w:szCs w:val="8"/>
        </w:rPr>
      </w:pPr>
    </w:p>
    <w:p w:rsidR="00691C1F" w:rsidRDefault="00092E03">
      <w:bookmarkStart w:id="0" w:name="_GoBack"/>
      <w:bookmarkEnd w:id="0"/>
    </w:p>
    <w:sectPr w:rsidR="00691C1F" w:rsidSect="00092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03"/>
    <w:rsid w:val="0006204F"/>
    <w:rsid w:val="00092E03"/>
    <w:rsid w:val="00156F00"/>
    <w:rsid w:val="0046648A"/>
    <w:rsid w:val="00927A67"/>
    <w:rsid w:val="00A01404"/>
    <w:rsid w:val="00C8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099F5F-4F89-4359-AAAE-89699DB28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E03"/>
  </w:style>
  <w:style w:type="paragraph" w:styleId="Heading1">
    <w:name w:val="heading 1"/>
    <w:basedOn w:val="Normal"/>
    <w:next w:val="Normal"/>
    <w:link w:val="Heading1Char"/>
    <w:uiPriority w:val="9"/>
    <w:qFormat/>
    <w:rsid w:val="00092E03"/>
    <w:pPr>
      <w:keepNext/>
      <w:keepLines/>
      <w:spacing w:after="0"/>
      <w:outlineLvl w:val="0"/>
    </w:pPr>
    <w:rPr>
      <w:rFonts w:eastAsiaTheme="majorEastAsia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E03"/>
    <w:rPr>
      <w:rFonts w:eastAsiaTheme="majorEastAsia" w:cstheme="majorBidi"/>
      <w:b/>
      <w:sz w:val="24"/>
      <w:szCs w:val="32"/>
      <w:u w:val="single"/>
    </w:rPr>
  </w:style>
  <w:style w:type="table" w:styleId="TableGrid">
    <w:name w:val="Table Grid"/>
    <w:basedOn w:val="TableNormal"/>
    <w:uiPriority w:val="39"/>
    <w:rsid w:val="00092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Chang</dc:creator>
  <cp:keywords/>
  <dc:description/>
  <cp:lastModifiedBy>Ming Chang</cp:lastModifiedBy>
  <cp:revision>1</cp:revision>
  <dcterms:created xsi:type="dcterms:W3CDTF">2020-01-07T04:31:00Z</dcterms:created>
  <dcterms:modified xsi:type="dcterms:W3CDTF">2020-01-07T04:34:00Z</dcterms:modified>
</cp:coreProperties>
</file>